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95" w:rsidRDefault="00C716E3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ab/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АДМИНИСТРАЦИЯ 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КАРПОВСКОГО СЕЛЬСКОГО ПОСЕЛЕНИЯ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ГОРОДИЩЕНСКОГО МУНИЦИПАЛЬНОГО РАЙОНА 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ВОЛГОГРАДСКОЙ ОБЛАСТИ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______________________________________________________________________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ПРОЕКТ</w:t>
      </w:r>
    </w:p>
    <w:p w:rsidR="000B4095" w:rsidRDefault="00C716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0B4095" w:rsidRDefault="000B4095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B4095" w:rsidRDefault="00241817" w:rsidP="001348BB">
      <w:pPr>
        <w:spacing w:after="0" w:line="276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 xml:space="preserve">.2025 г. </w:t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№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16E3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:rsidR="003E0AF9" w:rsidRDefault="003E0AF9" w:rsidP="001348BB">
      <w:pPr>
        <w:spacing w:after="0" w:line="276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 w:rsidP="001348BB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населенных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пунктов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муниципального района Волгоградской области на 2026 год</w:t>
      </w:r>
    </w:p>
    <w:p w:rsidR="000B4095" w:rsidRDefault="000B4095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44 Федерального закона от 31.07.2020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руководствуясь Федеральным законом от 06.10.2003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25.06.2021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", руководствуясь Уставом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области,</w:t>
      </w:r>
    </w:p>
    <w:p w:rsidR="000B4095" w:rsidRDefault="000B4095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B4095" w:rsidRDefault="000B4095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населенных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пунктов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муниципального района Волгоградской области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 2026 год согласно Приложению.</w:t>
      </w:r>
    </w:p>
    <w:p w:rsidR="000B4095" w:rsidRDefault="00C716E3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1 января 2026 года.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3.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="00A66D8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______________</w:t>
      </w:r>
      <w:r w:rsidR="00A66D8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Т.Т. Трофимов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</w:t>
      </w:r>
    </w:p>
    <w:p w:rsidR="000B4095" w:rsidRDefault="00C716E3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0B4095" w:rsidRDefault="000B409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8BB" w:rsidRDefault="003E0AF9" w:rsidP="0078555C">
      <w:pPr>
        <w:spacing w:after="0" w:line="276" w:lineRule="auto"/>
        <w:ind w:left="4248"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</w:t>
      </w:r>
    </w:p>
    <w:p w:rsidR="000B4095" w:rsidRDefault="001348BB" w:rsidP="0078555C">
      <w:pPr>
        <w:spacing w:after="0" w:line="276" w:lineRule="auto"/>
        <w:ind w:left="4248" w:firstLine="70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="00C716E3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0B4095" w:rsidRDefault="00C716E3" w:rsidP="0078555C">
      <w:pPr>
        <w:spacing w:after="0" w:line="276" w:lineRule="auto"/>
        <w:ind w:left="581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0B4095" w:rsidRDefault="00C716E3" w:rsidP="0078555C">
      <w:pPr>
        <w:spacing w:after="0" w:line="276" w:lineRule="auto"/>
        <w:ind w:left="5812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 w:rsidR="00241817">
        <w:rPr>
          <w:rFonts w:ascii="Arial" w:eastAsia="Times New Roman" w:hAnsi="Arial" w:cs="Arial"/>
          <w:color w:val="000000"/>
          <w:sz w:val="24"/>
          <w:szCs w:val="24"/>
        </w:rPr>
        <w:t>16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41817">
        <w:rPr>
          <w:rFonts w:ascii="Arial" w:eastAsia="Times New Roman" w:hAnsi="Arial" w:cs="Arial"/>
          <w:color w:val="000000"/>
          <w:sz w:val="24"/>
          <w:szCs w:val="24"/>
        </w:rPr>
        <w:t>12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.2025г. 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="00241817">
        <w:rPr>
          <w:rFonts w:ascii="Arial" w:eastAsia="Segoe UI Symbol" w:hAnsi="Arial" w:cs="Arial"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населенных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пунктов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муниципального района Волгоградской области на 2026 год</w:t>
      </w:r>
    </w:p>
    <w:p w:rsidR="000B4095" w:rsidRDefault="000B4095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B4095" w:rsidRDefault="00C716E3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0B4095" w:rsidRDefault="00C716E3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проблем, на решение которых направлена программа профилактики</w:t>
      </w:r>
    </w:p>
    <w:p w:rsidR="000B4095" w:rsidRDefault="000B4095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4095" w:rsidRDefault="000B4095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B4095" w:rsidRDefault="00C716E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Настоящая программа разработана в соответствии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44 Федерального закона от 31 июля 2021г.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>
        <w:rPr>
          <w:rFonts w:ascii="Arial" w:eastAsia="Segoe UI Symbol" w:hAnsi="Arial" w:cs="Arial"/>
          <w:color w:val="000000"/>
          <w:sz w:val="24"/>
          <w:szCs w:val="24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вред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ущерба) охраняемым законом ценностям при осуществлении муниципального контроля на автомобильном транспорте и в дорожном хозяйстве в границах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населенных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пунктов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области. 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В период с 01.01.2025 года по 31.09.2025 года администрацией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области (далее – администрация, контрольный орган) проверки в рамках муниципального контроля на автомобильном транспорте и в дорожном хозяйстве в границах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населенных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пунктов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области (далее – муниципальный контроль) не проводились, ввиду моратория на их проведение, установленного постановлением Правительства РФ от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10 марта 2022 г. № 336 "Об особенностях организации и осуществления государственного контроля (надзора), муниципального контроля" и отсутствия законных оснований для их проведения. 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В период 2025 года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 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-  информирование;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2024 год;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-  профилактический визит.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Исходя из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приведенных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путем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приведенный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 разделе 3 настоящей Программы. </w:t>
      </w: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</w:p>
    <w:p w:rsidR="000B4095" w:rsidRDefault="00C716E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>
        <w:rPr>
          <w:rFonts w:ascii="Arial" w:hAnsi="Arial" w:cs="Arial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0B4095" w:rsidRDefault="000B409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Целями программы профилактики являются: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B4095" w:rsidRDefault="000B409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B4095" w:rsidRDefault="00C716E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Раздел 3.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Перечень профилактических мероприятий, сроки (периодичность) их проведения: 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B4095" w:rsidRDefault="000B409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812"/>
        <w:gridCol w:w="2859"/>
        <w:gridCol w:w="3249"/>
      </w:tblGrid>
      <w:tr w:rsidR="000B409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0B409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0B4095" w:rsidRDefault="00C716E3" w:rsidP="002C15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иных заинтересованных лиц по вопросам соблюдения обязательных требований посредством размещения сведений,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определенных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частью 3 статьи 46 Федерального закона </w:t>
            </w:r>
            <w:r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78555C" w:rsidP="0078555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B4095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0B4095" w:rsidRDefault="00C716E3" w:rsidP="002C15AF">
            <w:pPr>
              <w:spacing w:after="0" w:line="240" w:lineRule="auto"/>
              <w:ind w:right="1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ценностям </w:t>
            </w:r>
          </w:p>
          <w:p w:rsidR="000B4095" w:rsidRDefault="000B4095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подтвержденные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данные о причинении или угрозе причинения вреда (ущерба) охраняемым законом ценностям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78555C" w:rsidP="0078555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B409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таким вопроса как: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4) порядка обжалования решений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Контрольного органа.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78555C" w:rsidP="0078555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B409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C716E3" w:rsidP="002C15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</w:t>
            </w:r>
          </w:p>
          <w:p w:rsidR="000B4095" w:rsidRDefault="00C716E3" w:rsidP="002C15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путем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использования видео-конференц-связи или мобильного приложения «Инспектор».</w:t>
            </w:r>
          </w:p>
          <w:p w:rsidR="000B4095" w:rsidRDefault="00C716E3" w:rsidP="002C15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0B4095" w:rsidRDefault="00C716E3" w:rsidP="002C15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Срок проведения обязательного профилактического визита не может превышать десять рабочих дней и может быть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продлен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срок, необходимый для проведения экспертизы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78555C" w:rsidP="002C15AF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C716E3">
              <w:rPr>
                <w:rFonts w:ascii="Arial" w:eastAsia="Times New Roman" w:hAnsi="Arial" w:cs="Arial"/>
                <w:sz w:val="24"/>
                <w:szCs w:val="24"/>
              </w:rPr>
              <w:t>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</w:t>
            </w:r>
            <w:proofErr w:type="gramEnd"/>
            <w:r w:rsidR="00C716E3">
              <w:rPr>
                <w:rFonts w:ascii="Arial" w:eastAsia="Times New Roman" w:hAnsi="Arial" w:cs="Arial"/>
                <w:sz w:val="24"/>
                <w:szCs w:val="24"/>
              </w:rPr>
              <w:t xml:space="preserve"> профилактического визита, принятого по заявлению контролируемого лица.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095" w:rsidRDefault="0078555C" w:rsidP="0078555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Должностные лица, уполномоченные на осуществление муниципального контроля </w:t>
            </w:r>
          </w:p>
        </w:tc>
      </w:tr>
    </w:tbl>
    <w:p w:rsidR="000B4095" w:rsidRDefault="000B4095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B4095" w:rsidRDefault="000B4095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Раздел 4. Показатели результативности и эффективности</w:t>
      </w:r>
    </w:p>
    <w:p w:rsidR="000B4095" w:rsidRDefault="00C716E3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B4095" w:rsidRDefault="000B4095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B4095" w:rsidRDefault="000B4095">
      <w:pPr>
        <w:spacing w:before="5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4219"/>
        <w:gridCol w:w="4168"/>
      </w:tblGrid>
      <w:tr w:rsidR="000B40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B40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3E0AF9">
            <w:pPr>
              <w:spacing w:before="101" w:after="0" w:line="242" w:lineRule="auto"/>
              <w:ind w:left="60" w:right="5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Полнота информации,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размещенной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0B4095" w:rsidRDefault="00C716E3" w:rsidP="003E0AF9">
            <w:pPr>
              <w:spacing w:after="0" w:line="240" w:lineRule="auto"/>
              <w:ind w:left="60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248-ФЗ «О государственном контрол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надзоре)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8A3764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100 %</w:t>
            </w:r>
          </w:p>
        </w:tc>
      </w:tr>
      <w:tr w:rsidR="000B40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3E0AF9">
            <w:pPr>
              <w:spacing w:before="101" w:after="0" w:line="242" w:lineRule="auto"/>
              <w:ind w:left="60" w:right="5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Удовлетворенность</w:t>
            </w:r>
            <w:proofErr w:type="spellEnd"/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контролируемых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лиц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их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представителями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консультированием</w:t>
            </w:r>
            <w:r w:rsidR="003E0A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контрольног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8A3764">
            <w:pPr>
              <w:spacing w:before="101" w:after="0" w:line="240" w:lineRule="auto"/>
              <w:ind w:left="544" w:right="472" w:hanging="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100 % от числа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B409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3E0AF9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B4095" w:rsidRDefault="00C716E3" w:rsidP="008A3764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не менее 2 мероприятий,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контрольны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м(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0B4095" w:rsidRDefault="000B409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B4095" w:rsidRDefault="00C716E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B4095" w:rsidRDefault="00C716E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Сведения о результатах профилактической работы за год размещаются в виде годового </w:t>
      </w:r>
      <w:proofErr w:type="spellStart"/>
      <w:r>
        <w:rPr>
          <w:rFonts w:ascii="Arial" w:eastAsia="Times New Roman" w:hAnsi="Arial" w:cs="Arial"/>
          <w:sz w:val="24"/>
          <w:szCs w:val="24"/>
        </w:rPr>
        <w:t>отчета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об осуществлении муниципального контроля.</w:t>
      </w:r>
    </w:p>
    <w:p w:rsidR="000B4095" w:rsidRDefault="000B409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B4095" w:rsidRDefault="000B4095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C716E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B4095" w:rsidRDefault="000B409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0B409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139" w:rsidRDefault="00272139">
      <w:pPr>
        <w:spacing w:line="240" w:lineRule="auto"/>
      </w:pPr>
      <w:r>
        <w:separator/>
      </w:r>
    </w:p>
  </w:endnote>
  <w:endnote w:type="continuationSeparator" w:id="0">
    <w:p w:rsidR="00272139" w:rsidRDefault="00272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139" w:rsidRDefault="00272139">
      <w:pPr>
        <w:spacing w:after="0"/>
      </w:pPr>
      <w:r>
        <w:separator/>
      </w:r>
    </w:p>
  </w:footnote>
  <w:footnote w:type="continuationSeparator" w:id="0">
    <w:p w:rsidR="00272139" w:rsidRDefault="002721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23E"/>
    <w:rsid w:val="0000108D"/>
    <w:rsid w:val="000213ED"/>
    <w:rsid w:val="00022818"/>
    <w:rsid w:val="00023AD1"/>
    <w:rsid w:val="00035F5D"/>
    <w:rsid w:val="00054435"/>
    <w:rsid w:val="00067ADC"/>
    <w:rsid w:val="000704FA"/>
    <w:rsid w:val="000807C5"/>
    <w:rsid w:val="000A5FFB"/>
    <w:rsid w:val="000B36E7"/>
    <w:rsid w:val="000B4095"/>
    <w:rsid w:val="000D123E"/>
    <w:rsid w:val="000D7FAD"/>
    <w:rsid w:val="000F38A7"/>
    <w:rsid w:val="000F53A6"/>
    <w:rsid w:val="0011556D"/>
    <w:rsid w:val="001348BB"/>
    <w:rsid w:val="00141F50"/>
    <w:rsid w:val="00153F43"/>
    <w:rsid w:val="0015698A"/>
    <w:rsid w:val="00184AFB"/>
    <w:rsid w:val="00191534"/>
    <w:rsid w:val="001955E5"/>
    <w:rsid w:val="001A064A"/>
    <w:rsid w:val="001A5485"/>
    <w:rsid w:val="001A5995"/>
    <w:rsid w:val="001B4E2C"/>
    <w:rsid w:val="001B6B47"/>
    <w:rsid w:val="001D3D59"/>
    <w:rsid w:val="001D5837"/>
    <w:rsid w:val="001D67C6"/>
    <w:rsid w:val="001E0313"/>
    <w:rsid w:val="001F58E6"/>
    <w:rsid w:val="00202BD1"/>
    <w:rsid w:val="0020351E"/>
    <w:rsid w:val="00210ECC"/>
    <w:rsid w:val="00216C8B"/>
    <w:rsid w:val="00241817"/>
    <w:rsid w:val="00272139"/>
    <w:rsid w:val="00284EA5"/>
    <w:rsid w:val="002862F3"/>
    <w:rsid w:val="002A2BBC"/>
    <w:rsid w:val="002B3A9B"/>
    <w:rsid w:val="002C15AF"/>
    <w:rsid w:val="002C33ED"/>
    <w:rsid w:val="00303212"/>
    <w:rsid w:val="00305D67"/>
    <w:rsid w:val="003126C4"/>
    <w:rsid w:val="003243D1"/>
    <w:rsid w:val="003251DC"/>
    <w:rsid w:val="00335687"/>
    <w:rsid w:val="003424FA"/>
    <w:rsid w:val="0036460F"/>
    <w:rsid w:val="0037077E"/>
    <w:rsid w:val="0037084D"/>
    <w:rsid w:val="00377ADB"/>
    <w:rsid w:val="00377C8B"/>
    <w:rsid w:val="003940BC"/>
    <w:rsid w:val="003A4717"/>
    <w:rsid w:val="003A723A"/>
    <w:rsid w:val="003C3700"/>
    <w:rsid w:val="003C7468"/>
    <w:rsid w:val="003E0AF9"/>
    <w:rsid w:val="003E40A4"/>
    <w:rsid w:val="003E7A0E"/>
    <w:rsid w:val="00414325"/>
    <w:rsid w:val="004200BB"/>
    <w:rsid w:val="0042473E"/>
    <w:rsid w:val="00447664"/>
    <w:rsid w:val="00486EA7"/>
    <w:rsid w:val="004872E6"/>
    <w:rsid w:val="004908EE"/>
    <w:rsid w:val="004A7CFA"/>
    <w:rsid w:val="004B2E2C"/>
    <w:rsid w:val="004B33A6"/>
    <w:rsid w:val="004C3D72"/>
    <w:rsid w:val="004E048F"/>
    <w:rsid w:val="0051273A"/>
    <w:rsid w:val="00517E88"/>
    <w:rsid w:val="00525E48"/>
    <w:rsid w:val="005578B0"/>
    <w:rsid w:val="0056633F"/>
    <w:rsid w:val="00592F86"/>
    <w:rsid w:val="00593E27"/>
    <w:rsid w:val="00594354"/>
    <w:rsid w:val="005C2308"/>
    <w:rsid w:val="005C7F0A"/>
    <w:rsid w:val="005D02DC"/>
    <w:rsid w:val="005D1E3A"/>
    <w:rsid w:val="005D2F2A"/>
    <w:rsid w:val="00645A3A"/>
    <w:rsid w:val="00655CD5"/>
    <w:rsid w:val="006617E9"/>
    <w:rsid w:val="0067213E"/>
    <w:rsid w:val="006A6247"/>
    <w:rsid w:val="006E020D"/>
    <w:rsid w:val="006F4776"/>
    <w:rsid w:val="006F664E"/>
    <w:rsid w:val="0070699A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8555C"/>
    <w:rsid w:val="007956B3"/>
    <w:rsid w:val="007A7AC3"/>
    <w:rsid w:val="007B09B6"/>
    <w:rsid w:val="007C6B7A"/>
    <w:rsid w:val="007D14A8"/>
    <w:rsid w:val="007E5E06"/>
    <w:rsid w:val="00803CBA"/>
    <w:rsid w:val="00810009"/>
    <w:rsid w:val="00822315"/>
    <w:rsid w:val="0084512D"/>
    <w:rsid w:val="0085320C"/>
    <w:rsid w:val="00886BF1"/>
    <w:rsid w:val="00897BF7"/>
    <w:rsid w:val="008A106D"/>
    <w:rsid w:val="008A1D81"/>
    <w:rsid w:val="008A3764"/>
    <w:rsid w:val="008A6ADC"/>
    <w:rsid w:val="008D4CE2"/>
    <w:rsid w:val="008D51ED"/>
    <w:rsid w:val="008F0734"/>
    <w:rsid w:val="008F2708"/>
    <w:rsid w:val="008F74A8"/>
    <w:rsid w:val="008F7E47"/>
    <w:rsid w:val="009256BA"/>
    <w:rsid w:val="009279F5"/>
    <w:rsid w:val="009B388E"/>
    <w:rsid w:val="009C786E"/>
    <w:rsid w:val="009D0D81"/>
    <w:rsid w:val="009D59F5"/>
    <w:rsid w:val="00A66D82"/>
    <w:rsid w:val="00A70F2A"/>
    <w:rsid w:val="00AC6BEA"/>
    <w:rsid w:val="00AE0F02"/>
    <w:rsid w:val="00B00C36"/>
    <w:rsid w:val="00B65243"/>
    <w:rsid w:val="00B66124"/>
    <w:rsid w:val="00B7404E"/>
    <w:rsid w:val="00B754AF"/>
    <w:rsid w:val="00B85651"/>
    <w:rsid w:val="00BA09BF"/>
    <w:rsid w:val="00BA40A1"/>
    <w:rsid w:val="00BC0CF8"/>
    <w:rsid w:val="00BC24DB"/>
    <w:rsid w:val="00BC6A99"/>
    <w:rsid w:val="00BD5155"/>
    <w:rsid w:val="00BE0DCC"/>
    <w:rsid w:val="00C22AAD"/>
    <w:rsid w:val="00C671F2"/>
    <w:rsid w:val="00C716E3"/>
    <w:rsid w:val="00C7174C"/>
    <w:rsid w:val="00C95F83"/>
    <w:rsid w:val="00CB3E94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E0713"/>
    <w:rsid w:val="00DF12EC"/>
    <w:rsid w:val="00E2047A"/>
    <w:rsid w:val="00E308F1"/>
    <w:rsid w:val="00E531C8"/>
    <w:rsid w:val="00E53DF8"/>
    <w:rsid w:val="00E6341E"/>
    <w:rsid w:val="00E65001"/>
    <w:rsid w:val="00E804DA"/>
    <w:rsid w:val="00E900C7"/>
    <w:rsid w:val="00ED7822"/>
    <w:rsid w:val="00EE5854"/>
    <w:rsid w:val="00EF2FE7"/>
    <w:rsid w:val="00F326AA"/>
    <w:rsid w:val="00F523F8"/>
    <w:rsid w:val="00F63A99"/>
    <w:rsid w:val="00F70AA7"/>
    <w:rsid w:val="00F82881"/>
    <w:rsid w:val="00FB2C1C"/>
    <w:rsid w:val="00FC1723"/>
    <w:rsid w:val="00FC3333"/>
    <w:rsid w:val="00FC7337"/>
    <w:rsid w:val="00FD37A6"/>
    <w:rsid w:val="00FD4A99"/>
    <w:rsid w:val="1D956BB4"/>
    <w:rsid w:val="31821046"/>
    <w:rsid w:val="6F595B8B"/>
    <w:rsid w:val="7F0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1708</Words>
  <Characters>9742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80</cp:revision>
  <cp:lastPrinted>2023-11-13T05:53:00Z</cp:lastPrinted>
  <dcterms:created xsi:type="dcterms:W3CDTF">2023-11-13T05:53:00Z</dcterms:created>
  <dcterms:modified xsi:type="dcterms:W3CDTF">2025-12-16T06:22:00Z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DD335FBD615245828033A94EB1A5DA8A_12</vt:lpwstr>
  </property>
</Properties>
</file>